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40" w:rsidRDefault="009E2640">
      <w:pPr>
        <w:rPr>
          <w:rFonts w:hint="eastAsia"/>
        </w:rPr>
      </w:pPr>
    </w:p>
    <w:p w:rsidR="00F80479" w:rsidRDefault="00F80479">
      <w:pPr>
        <w:rPr>
          <w:rFonts w:hint="eastAsia"/>
        </w:rPr>
      </w:pPr>
      <w:r>
        <w:rPr>
          <w:noProof/>
        </w:rPr>
        <w:drawing>
          <wp:inline distT="0" distB="0" distL="0" distR="0" wp14:anchorId="5DA70DD6" wp14:editId="38B93007">
            <wp:extent cx="6253696" cy="895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275761" cy="898509"/>
                    </a:xfrm>
                    <a:prstGeom prst="rect">
                      <a:avLst/>
                    </a:prstGeom>
                  </pic:spPr>
                </pic:pic>
              </a:graphicData>
            </a:graphic>
          </wp:inline>
        </w:drawing>
      </w:r>
    </w:p>
    <w:p w:rsidR="00F80479" w:rsidRDefault="00F80479">
      <w:pPr>
        <w:rPr>
          <w:rFonts w:hint="eastAsia"/>
        </w:rPr>
      </w:pPr>
    </w:p>
    <w:tbl>
      <w:tblPr>
        <w:tblW w:w="13950" w:type="dxa"/>
        <w:tblCellSpacing w:w="0" w:type="dxa"/>
        <w:shd w:val="clear" w:color="auto" w:fill="FFFFFF"/>
        <w:tblCellMar>
          <w:left w:w="0" w:type="dxa"/>
          <w:right w:w="0" w:type="dxa"/>
        </w:tblCellMar>
        <w:tblLook w:val="04A0" w:firstRow="1" w:lastRow="0" w:firstColumn="1" w:lastColumn="0" w:noHBand="0" w:noVBand="1"/>
      </w:tblPr>
      <w:tblGrid>
        <w:gridCol w:w="13950"/>
      </w:tblGrid>
      <w:tr w:rsidR="00F80479" w:rsidRPr="00F80479" w:rsidTr="00F80479">
        <w:trPr>
          <w:tblCellSpacing w:w="0" w:type="dxa"/>
        </w:trPr>
        <w:tc>
          <w:tcPr>
            <w:tcW w:w="10125" w:type="dxa"/>
            <w:shd w:val="clear" w:color="auto" w:fill="FFFFFF"/>
            <w:hideMark/>
          </w:tcPr>
          <w:tbl>
            <w:tblPr>
              <w:tblW w:w="10110" w:type="dxa"/>
              <w:tblCellSpacing w:w="0" w:type="dxa"/>
              <w:tblBorders>
                <w:right w:val="single" w:sz="6" w:space="0" w:color="CACACA"/>
              </w:tblBorders>
              <w:tblCellMar>
                <w:left w:w="0" w:type="dxa"/>
                <w:right w:w="0" w:type="dxa"/>
              </w:tblCellMar>
              <w:tblLook w:val="04A0" w:firstRow="1" w:lastRow="0" w:firstColumn="1" w:lastColumn="0" w:noHBand="0" w:noVBand="1"/>
            </w:tblPr>
            <w:tblGrid>
              <w:gridCol w:w="10110"/>
            </w:tblGrid>
            <w:tr w:rsidR="00F80479" w:rsidRPr="00F80479">
              <w:trPr>
                <w:tblCellSpacing w:w="0" w:type="dxa"/>
              </w:trPr>
              <w:tc>
                <w:tcPr>
                  <w:tcW w:w="0" w:type="auto"/>
                  <w:vAlign w:val="center"/>
                  <w:hideMark/>
                </w:tcPr>
                <w:p w:rsidR="00F80479" w:rsidRPr="00F80479" w:rsidRDefault="00F80479" w:rsidP="00F80479">
                  <w:pPr>
                    <w:widowControl/>
                    <w:jc w:val="left"/>
                    <w:rPr>
                      <w:rFonts w:ascii="宋体" w:eastAsia="宋体" w:hAnsi="宋体" w:cs="宋体"/>
                      <w:kern w:val="0"/>
                      <w:sz w:val="24"/>
                      <w:szCs w:val="24"/>
                    </w:rPr>
                  </w:pPr>
                </w:p>
                <w:tbl>
                  <w:tblPr>
                    <w:tblW w:w="8647" w:type="dxa"/>
                    <w:tblCellSpacing w:w="0" w:type="dxa"/>
                    <w:tblCellMar>
                      <w:left w:w="0" w:type="dxa"/>
                      <w:right w:w="0" w:type="dxa"/>
                    </w:tblCellMar>
                    <w:tblLook w:val="04A0" w:firstRow="1" w:lastRow="0" w:firstColumn="1" w:lastColumn="0" w:noHBand="0" w:noVBand="1"/>
                  </w:tblPr>
                  <w:tblGrid>
                    <w:gridCol w:w="8647"/>
                  </w:tblGrid>
                  <w:tr w:rsidR="00F80479" w:rsidRPr="00F80479" w:rsidTr="00F80479">
                    <w:trPr>
                      <w:tblCellSpacing w:w="0" w:type="dxa"/>
                    </w:trPr>
                    <w:tc>
                      <w:tcPr>
                        <w:tcW w:w="8647" w:type="dxa"/>
                        <w:vAlign w:val="center"/>
                        <w:hideMark/>
                      </w:tcPr>
                      <w:p w:rsidR="00F80479" w:rsidRPr="00F80479" w:rsidRDefault="00F80479" w:rsidP="00F80479">
                        <w:pPr>
                          <w:widowControl/>
                          <w:spacing w:line="432" w:lineRule="atLeast"/>
                          <w:jc w:val="center"/>
                          <w:rPr>
                            <w:rFonts w:ascii="宋体" w:eastAsia="宋体" w:hAnsi="宋体" w:cs="宋体"/>
                            <w:kern w:val="0"/>
                            <w:sz w:val="24"/>
                            <w:szCs w:val="24"/>
                          </w:rPr>
                        </w:pPr>
                        <w:r w:rsidRPr="00F80479">
                          <w:rPr>
                            <w:rFonts w:ascii="宋体" w:eastAsia="宋体" w:hAnsi="宋体" w:cs="宋体"/>
                            <w:b/>
                            <w:bCs/>
                            <w:kern w:val="0"/>
                            <w:sz w:val="36"/>
                            <w:szCs w:val="36"/>
                          </w:rPr>
                          <w:t>国务院办公厅关于进一步完善</w:t>
                        </w:r>
                      </w:p>
                      <w:p w:rsidR="00F80479" w:rsidRPr="00F80479" w:rsidRDefault="00F80479" w:rsidP="00F80479">
                        <w:pPr>
                          <w:widowControl/>
                          <w:spacing w:line="432" w:lineRule="atLeast"/>
                          <w:jc w:val="center"/>
                          <w:rPr>
                            <w:rFonts w:ascii="宋体" w:eastAsia="宋体" w:hAnsi="宋体" w:cs="宋体"/>
                            <w:kern w:val="0"/>
                            <w:sz w:val="24"/>
                            <w:szCs w:val="24"/>
                          </w:rPr>
                        </w:pPr>
                        <w:r w:rsidRPr="00F80479">
                          <w:rPr>
                            <w:rFonts w:ascii="宋体" w:eastAsia="宋体" w:hAnsi="宋体" w:cs="宋体"/>
                            <w:b/>
                            <w:bCs/>
                            <w:kern w:val="0"/>
                            <w:sz w:val="36"/>
                            <w:szCs w:val="36"/>
                          </w:rPr>
                          <w:t>国有企业法人治理结构的指导意见</w:t>
                        </w:r>
                        <w:r w:rsidRPr="00F80479">
                          <w:rPr>
                            <w:rFonts w:ascii="宋体" w:eastAsia="宋体" w:hAnsi="宋体" w:cs="宋体"/>
                            <w:kern w:val="0"/>
                            <w:sz w:val="24"/>
                            <w:szCs w:val="24"/>
                          </w:rPr>
                          <w:br/>
                        </w:r>
                        <w:r w:rsidRPr="00F80479">
                          <w:rPr>
                            <w:rFonts w:ascii="楷体" w:eastAsia="楷体" w:hAnsi="楷体" w:cs="宋体" w:hint="eastAsia"/>
                            <w:kern w:val="0"/>
                            <w:sz w:val="24"/>
                            <w:szCs w:val="24"/>
                          </w:rPr>
                          <w:t>国办发〔2017〕36号</w:t>
                        </w:r>
                      </w:p>
                      <w:p w:rsidR="00F80479" w:rsidRPr="00F80479" w:rsidRDefault="00F80479" w:rsidP="00F80479">
                        <w:pPr>
                          <w:widowControl/>
                          <w:spacing w:line="432" w:lineRule="atLeast"/>
                          <w:rPr>
                            <w:rFonts w:ascii="宋体" w:eastAsia="宋体" w:hAnsi="宋体" w:cs="宋体"/>
                            <w:kern w:val="0"/>
                            <w:sz w:val="24"/>
                            <w:szCs w:val="24"/>
                          </w:rPr>
                        </w:pPr>
                      </w:p>
                      <w:p w:rsidR="00F80479" w:rsidRPr="00F80479" w:rsidRDefault="00F80479" w:rsidP="00F80479">
                        <w:pPr>
                          <w:widowControl/>
                          <w:spacing w:line="432" w:lineRule="atLeast"/>
                          <w:rPr>
                            <w:rFonts w:ascii="宋体" w:eastAsia="宋体" w:hAnsi="宋体" w:cs="宋体"/>
                            <w:kern w:val="0"/>
                            <w:sz w:val="24"/>
                            <w:szCs w:val="24"/>
                          </w:rPr>
                        </w:pPr>
                        <w:r w:rsidRPr="00F80479">
                          <w:rPr>
                            <w:rFonts w:ascii="宋体" w:eastAsia="宋体" w:hAnsi="宋体" w:cs="宋体"/>
                            <w:kern w:val="0"/>
                            <w:sz w:val="24"/>
                            <w:szCs w:val="24"/>
                          </w:rPr>
                          <w:t>各省、自治区、直辖市人民政府，国务院各部委、各直属机构：</w:t>
                        </w:r>
                      </w:p>
                      <w:p w:rsidR="00F80479" w:rsidRPr="00F80479" w:rsidRDefault="00F80479" w:rsidP="00F80479">
                        <w:pPr>
                          <w:widowControl/>
                          <w:spacing w:line="432" w:lineRule="atLeast"/>
                          <w:ind w:firstLine="480"/>
                          <w:jc w:val="left"/>
                          <w:rPr>
                            <w:rFonts w:ascii="宋体" w:eastAsia="宋体" w:hAnsi="宋体" w:cs="宋体"/>
                            <w:kern w:val="0"/>
                            <w:sz w:val="24"/>
                            <w:szCs w:val="24"/>
                          </w:rPr>
                        </w:pPr>
                        <w:r w:rsidRPr="00F80479">
                          <w:rPr>
                            <w:rFonts w:ascii="宋体" w:eastAsia="宋体" w:hAnsi="宋体" w:cs="宋体"/>
                            <w:kern w:val="0"/>
                            <w:sz w:val="24"/>
                            <w:szCs w:val="24"/>
                          </w:rPr>
                          <w:t>完善国有企业法人治理结构是全面推进依法治企、推进国家治理体系和治理能力现代化的内在要求，是新一轮国有企业改革的重要任务。当前，多数国有企业已初步建立现代企业制度，但从实践情况看，现代企业制度仍不完善，部分企业尚未形成有效的法人治理结构，权责不清、约束不够、缺乏制衡等问题较为突出，一些董事会形同虚设，未能发挥应有作用。根据《中共中央 国务院关于深化国有企业改革的指导意见》等文件精神，为改进国有企业法人治理结构，完善国有企业现代企业制度，经国务院同意，现提出以下意见：</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b/>
                            <w:bCs/>
                            <w:kern w:val="0"/>
                            <w:sz w:val="24"/>
                            <w:szCs w:val="24"/>
                          </w:rPr>
                          <w:t>一、总体要求</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（一）指导思想。</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从国有企业实际情况出发，以建立健全产权清晰、权责明确、政企分开、管理科学的现代企业制度为方向，积极适应国有企业改革的新形势新要求，坚持党的领导、加强党的建设，完善体制机制，依法规范权责，根据功能分类，把握重点，进一步健全各司其职、各负其责、协调运转、有效制衡的国有企业法人治理结构。</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（二）基本原则。</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1.坚持深化改革。</w:t>
                        </w:r>
                        <w:r w:rsidRPr="00F80479">
                          <w:rPr>
                            <w:rFonts w:ascii="宋体" w:eastAsia="宋体" w:hAnsi="宋体" w:cs="宋体"/>
                            <w:kern w:val="0"/>
                            <w:sz w:val="24"/>
                            <w:szCs w:val="24"/>
                          </w:rPr>
                          <w:t>尊重企业市场主体地位，遵循市场经济规律和企业发展规律，以规范决策机制和完善制衡机制为重点，坚持激励机制与约束机制相结合，体现效</w:t>
                        </w:r>
                        <w:r w:rsidRPr="00F80479">
                          <w:rPr>
                            <w:rFonts w:ascii="宋体" w:eastAsia="宋体" w:hAnsi="宋体" w:cs="宋体"/>
                            <w:kern w:val="0"/>
                            <w:sz w:val="24"/>
                            <w:szCs w:val="24"/>
                          </w:rPr>
                          <w:lastRenderedPageBreak/>
                          <w:t>率原则与公平原则，充分调动企业家积极性，提升企业的市场化、现代化经营水平。</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2.坚持党的领导。</w:t>
                        </w:r>
                        <w:r w:rsidRPr="00F80479">
                          <w:rPr>
                            <w:rFonts w:ascii="宋体" w:eastAsia="宋体" w:hAnsi="宋体" w:cs="宋体"/>
                            <w:kern w:val="0"/>
                            <w:sz w:val="24"/>
                            <w:szCs w:val="24"/>
                          </w:rPr>
                          <w:t>落实全面从严治党战略部署，把加强党的领导和完善公司治理统一起来，明确国有企业党组织在法人治理结构中的法定地位，发挥国有企业党组织的领导核心和政治核心作用，保证党组织把方向、管大局、保落实。坚持党管干部原则与董事会依法选择经营管理者、经营管理者依法行使用人权相结合，积极探索有效实现形式，完善反腐倡廉制度体系。</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3.坚持依法治企。</w:t>
                        </w:r>
                        <w:r w:rsidRPr="00F80479">
                          <w:rPr>
                            <w:rFonts w:ascii="宋体" w:eastAsia="宋体" w:hAnsi="宋体" w:cs="宋体"/>
                            <w:kern w:val="0"/>
                            <w:sz w:val="24"/>
                            <w:szCs w:val="24"/>
                          </w:rPr>
                          <w:t>依据《中华人民共和国公司法》、《中华人民共和国企业国有资产法》等法律法规，以公司章程为行为准则，规范权责定位和行权方式；法无授权，任何政府部门和机构不得干预企业正常生产经营活动，实现深化改革与依法治企的有机统一。</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4.坚持权责对等。</w:t>
                        </w:r>
                        <w:r w:rsidRPr="00F80479">
                          <w:rPr>
                            <w:rFonts w:ascii="宋体" w:eastAsia="宋体" w:hAnsi="宋体" w:cs="宋体"/>
                            <w:kern w:val="0"/>
                            <w:sz w:val="24"/>
                            <w:szCs w:val="24"/>
                          </w:rPr>
                          <w:t>坚持权利义务责任相统一，规范权力运行、强化权利责任对等，改革国有资本授权经营体制，深化权力运行和监督机制改革，构建符合国情的监管体系，完善履职评价和责任追究机制，对失职、渎职行为严格追责，建立决策、执行和监督环节的终身责任追究制度。</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（三）主要目标。</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2017年年底前，国有企业公司制改革基本完成。到2020年，党组织在国有企业法人治理结构中的法定地位更加牢固，充分发挥公司章程在企业治理中的基础作用，国有独资、全资公司全面建立外部董事占多数的董事会，国有控股企业实行外部董事派出制度，完成外派监事会改革；充分发挥企业家作用，造就一大批政治坚定、善于经营、充满活力的董事长和职业经理人，培育一支德才兼备、业务精通、勇于担当的董事、监事队伍；党风廉政建设主体责任和监督责任全面落实，企业民主监督和管理明显改善；遵循市场经济规律和企业发展规律，使国有企业成为依法自主经营、自负盈亏、自担风险、自我约束、自我发展的市场主体。</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b/>
                            <w:bCs/>
                            <w:kern w:val="0"/>
                            <w:sz w:val="24"/>
                            <w:szCs w:val="24"/>
                          </w:rPr>
                          <w:t>二、规范主体权责</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健全以公司章程为核心的企业制度体系，充分发挥公司章程在企业治理中的基础作用，依照法律法规和公司章程，严格规范履行出资人职责的机构（以下简称出资人机构）、股东会（包括股东大会，下同）、董事会、经理层、监事会、党组织和职工代表大会的权责，强化权利责任对等，保障有效履职，完善符合市场经济规律和我国国情的国有企业法人治理结构，进一步提升国有企业运行效率。</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（一）理顺出资人职责，转变监管方式。</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1.股东会是公司的权力机构。股东会主要依据法律法规和公司章程，通过委派或更换董事、监事（不含职工代表），审核批准董事会、监事会年度工作报告，批</w:t>
                        </w:r>
                        <w:r w:rsidRPr="00F80479">
                          <w:rPr>
                            <w:rFonts w:ascii="宋体" w:eastAsia="宋体" w:hAnsi="宋体" w:cs="宋体"/>
                            <w:kern w:val="0"/>
                            <w:sz w:val="24"/>
                            <w:szCs w:val="24"/>
                          </w:rPr>
                          <w:lastRenderedPageBreak/>
                          <w:t>准公司财务预决算、利润分配方案等方式，对董事会、监事会以及董事、监事的履职情况进行评价和监督。出资人机构根据本级人民政府授权对国家出资企业依法享有股东权利。</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2.国有独资公司不设股东会，由出资人机构依法行使股东会职权。以管资本为主改革国有资本授权经营体制，对直接出资的国有独资公司，出资人机构重点管好国有资本布局、规范资本运作、强化资本约束、提高资本回报、维护资本安全。对国有全资公司、国有控股企业，出资人机构主要依据股权份额通过参加股东会议、审核需由股东决定的事项、与其他股东协商作出决议等方式履行职责，除法律法规或公司章程另有规定外，不得干预企业自主经营活动。</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3.出资人机构依据法律法规和公司章程规定行使股东权利、履行股东义务，有关监管内容应依法纳入公司章程。按照以管资本为主的要求，出资人机构要转变工作职能、改进工作方式，加强公司章程管理，清理有关规章、规范性文件，研究提出出资人机构审批事项清单，建立对董事会重大决策的合规性审查机制，制定监事会建设、责任追究等具体措施，适时制定国有资本优先股和国家特殊管理股管理办法。</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（二）加强董事会建设，落实董事会职权。</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1.董事会是公司的决策机构，要对股东会负责，执行股东会决定，依照法定程序和公司章程授权决定公司重大事项，接受股东会、监事会监督，认真履行决策把关、内部管理、防范风险、深化改革等职责。国有独资公司要依法落实和维护董事会行使重大决策、选人用人、薪酬分配等权利，增强董事会的独立性和权威性，落实董事会年度工作报告制度；董事会应与党组织充分沟通，有序开展国有独资公司董事会选聘经理层试点，加强对经理层的管理和监督。</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2.优化董事会组成结构。国有独资、全资公司的董事长、总经理原则上分设，应均为内部执行董事，定期向董事会报告工作。国有独资公司的董事长作为企业法定代表人，对企业改革发展负首要责任，要及时向董事会和国有股东报告重大经营问题和经营风险。国有独资公司的董事对出资人机构负责，接受出资人机构指导，其中外部董事人选由出资人机构商有关部门提名，并按照法定程序任命。国有全资公司、国有控股企业的董事由相关股东依据股权份额推荐派出，由股东会选举或更换，国有股东派出的董事要积极维护国有资本权益；国有全资公司的外部董事人选由控股股东商其他股东推荐，由股东会选举或更换；国有控股企业应有一定比例的外部董事，由股东会选举或更换。</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3.规范董事会议事规则。董事会要严格实行集体审议、独立表决、个人负责的</w:t>
                        </w:r>
                        <w:r w:rsidRPr="00F80479">
                          <w:rPr>
                            <w:rFonts w:ascii="宋体" w:eastAsia="宋体" w:hAnsi="宋体" w:cs="宋体"/>
                            <w:kern w:val="0"/>
                            <w:sz w:val="24"/>
                            <w:szCs w:val="24"/>
                          </w:rPr>
                          <w:lastRenderedPageBreak/>
                          <w:t>决策制度，平等充分发表意见，一人一票表决，建立规范透明的重大事项信息公开和对外披露制度，保障董事会会议记录和提案资料的完整性，建立董事会决议跟踪落实以及后评估制度，做好与其他治理主体的联系沟通。董事会应当设立提名委员会、薪酬与考核委员会、审计委员会等专门委员会，为董事会决策提供咨询，其中薪酬与考核委员会、审计委员会应由外部董事组成。改进董事会和董事评价办法，完善年度和任期考核制度，逐步形成符合企业特点的考核评价体系及激励机制。</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4.加强董事队伍建设。开展董事任前和任期培训，做好董事派出和任期管理工作。建立完善外部董事选聘和管理制度，严格资格认定和考试考察程序，拓宽外部董事来源渠道，扩大专职外部董事队伍，选聘一批现职国有企业负责人转任专职外部董事，定期报告外部董事履职情况。国有独资公司要健全外部董事召集人制度，召集人由外部董事定期推选产生。外部董事要与出资人机构加强沟通。</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（三）维护经营自主权，激发经理层活力。</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1.经理层是公司的执行机构，依法由董事会聘任或解聘，接受董事会管理和监事会监督。总经理对董事会负责，依法行使管理生产经营、组织实施董事会决议等职权，向董事会报告工作，董事会闭会期间向董事长报告工作。</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2.建立规范的经理层授权管理制度，对经理层成员实行与选任方式相匹配、与企业功能性质相适应、与经营业绩相挂钩的差异化薪酬分配制度，国有独资公司经理层逐步实行任期制和契约化管理。根据企业产权结构、市场化程度等不同情况，有序推进职业经理人制度建设，逐步扩大职业经理人队伍，有序实行市场化薪酬，探索完善中长期激励机制，研究出台相关指导意见。国有独资公司要积极探索推行职业经理人制度，实行内部培养和外部引进相结合，畅通企业经理层成员与职业经理人的身份转换通道。开展出资人机构委派国有独资公司总会计师试点。</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（四）发挥监督作用，完善问责机制。</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1.监事会是公司的监督机构，依照有关法律法规和公司章程设立，对董事会、经理层成员的职务行为进行监督。要提高专职监事比例，增强监事会的独立性和权威性。对国有资产监管机构所出资企业依法实行外派监事会制度。外派监事会由政府派出，负责检查企业财务，监督企业重大决策和关键环节以及董事会、经理层履职情况，不参与、不干预企业经营管理活动。</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2.健全以职工代表大会为基本形式的企业民主管理制度，支持和保证职工代表大会依法行使职权，加强职工民主管理与监督，维护职工合法权益。国有独资、全资公司的董事会、监事会中须有职工董事和职工监事。建立国有企业重大事项信息公开和对外披露制度。</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lastRenderedPageBreak/>
                          <w:t>3.强化责任意识，明确权责边界，建立与治理主体履职相适应的责任追究制度。董事、监事、经理层成员应当遵守法律法规和公司章程，对公司负有忠实义务和勤勉义务；要将其信用记录纳入全国信用信息共享平台，违约失信的按规定在“信用中国”网站公开。董事应当出席董事会会议，对董事会决议承担责任；董事会决议违反法律法规或公司章程、股东会决议，致使公司遭受严重损失的，应依法追究有关董事责任。经理层成员违反法律法规或公司章程，致使公司遭受损失的，应依法追究有关经理层成员责任。执行董事和经理层成员未及时向董事会或国有股东报告重大经营问题和经营风险的，应依法追究相关人员责任。企业党组织成员履职过程中有重大失误和失职、渎职行为的，应按照党组织有关规定严格追究责任。按照“三个区分开来”的要求，建立必要的改革容错纠错机制，激励企业领导人员干事创业。</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（五）坚持党的领导，发挥政治优势。</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1.坚持党的领导、加强党的建设是国有企业的独特优势。要明确党组织在国有企业法人治理结构中的法定地位，将党建工作总体要求纳入国有企业章程，明确党组织在企业决策、执行、监督各环节的权责和工作方式，使党组织成为企业法人治理结构的有机组成部分。要充分发挥党组织的领导核心和政治核心作用，领导企业思想政治工作，支持董事会、监事会、经理层依法履行职责，保证党和国家方针政策的贯彻执行。</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2.充分发挥纪检监察、巡视、审计等监督作用，国有企业董事、监事、经理层中的党员每年要定期向党组（党委）报告个人履职和廉洁自律情况。上级党组织对国有企业纪检组组长（纪委书记）实行委派制度和定期轮岗制度，纪检组组长（纪委书记）要坚持原则、强化监督。纪检组组长（纪委书记）可列席董事会和董事会专门委员会的会议。</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3.积极探索党管干部原则与董事会选聘经营管理人员有机结合的途径和方法。坚持和完善双向进入、交叉任职的领导体制，符合条件的国有企业党组（党委）领导班子成员可以通过法定程序进入董事会、监事会、经理层，董事会、监事会、经理层成员中符合条件的党员可以依照有关规定和程序进入党组（党委）；党组（党委）书记、董事长一般由一人担任，推进中央企业党组（党委）专职副书记进入董事会。在董事会选聘经理层成员工作中，上级党组织及其组织部门、国有资产监管机构党委应当发挥确定标准、规范程序、参与考察、推荐人选等作用。积极探索董事会通过差额方式选聘经理层成员。</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b/>
                            <w:bCs/>
                            <w:kern w:val="0"/>
                            <w:sz w:val="24"/>
                            <w:szCs w:val="24"/>
                          </w:rPr>
                          <w:t>三、做好组织实施</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（一）及时总结经验，分层有序实施。</w:t>
                        </w:r>
                        <w:r w:rsidRPr="00F80479">
                          <w:rPr>
                            <w:rFonts w:ascii="宋体" w:eastAsia="宋体" w:hAnsi="宋体" w:cs="宋体"/>
                            <w:kern w:val="0"/>
                            <w:sz w:val="24"/>
                            <w:szCs w:val="24"/>
                          </w:rPr>
                          <w:t>在国有企业建设规范董事会试点基础上，</w:t>
                        </w:r>
                        <w:r w:rsidRPr="00F80479">
                          <w:rPr>
                            <w:rFonts w:ascii="宋体" w:eastAsia="宋体" w:hAnsi="宋体" w:cs="宋体"/>
                            <w:kern w:val="0"/>
                            <w:sz w:val="24"/>
                            <w:szCs w:val="24"/>
                          </w:rPr>
                          <w:lastRenderedPageBreak/>
                          <w:t>总结经验、完善制度，国务院国资委监管的中央企业要依法改制为国有独资公司或国有控股公司，全面建立规范的董事会。国有资本投资、运营公司法人治理结构要“一企一策”地在公司章程中予以细化。其他中央企业和地方国有企业要根据自身实际，由出资人机构负责完善国有企业法人治理结构。</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楷体" w:eastAsia="楷体" w:hAnsi="楷体" w:cs="宋体" w:hint="eastAsia"/>
                            <w:kern w:val="0"/>
                            <w:sz w:val="24"/>
                            <w:szCs w:val="24"/>
                          </w:rPr>
                          <w:t>（二）精心规范运作，做好相互衔接。</w:t>
                        </w:r>
                        <w:r w:rsidRPr="00F80479">
                          <w:rPr>
                            <w:rFonts w:ascii="宋体" w:eastAsia="宋体" w:hAnsi="宋体" w:cs="宋体"/>
                            <w:kern w:val="0"/>
                            <w:sz w:val="24"/>
                            <w:szCs w:val="24"/>
                          </w:rPr>
                          <w:t>国有企业要按照完善法人治理结构的要求，全面推进依法治企，完善公司章程，明确内部组织机构的权利、义务、责任，实现各负其责、规范运作、相互衔接、有效制衡。国务院国资委要会同有关部门和单位抓紧制定国有企业公司章程审核和批准管理办法。</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金融、文化等国有企业的改革，中央另有规定的依其规定执行。</w:t>
                        </w:r>
                      </w:p>
                      <w:p w:rsidR="00F80479" w:rsidRPr="00F80479" w:rsidRDefault="00F80479" w:rsidP="00F80479">
                        <w:pPr>
                          <w:widowControl/>
                          <w:spacing w:line="432" w:lineRule="atLeast"/>
                          <w:ind w:firstLine="480"/>
                          <w:rPr>
                            <w:rFonts w:ascii="宋体" w:eastAsia="宋体" w:hAnsi="宋体" w:cs="宋体"/>
                            <w:kern w:val="0"/>
                            <w:sz w:val="24"/>
                            <w:szCs w:val="24"/>
                          </w:rPr>
                        </w:pPr>
                        <w:r w:rsidRPr="00F80479">
                          <w:rPr>
                            <w:rFonts w:ascii="宋体" w:eastAsia="宋体" w:hAnsi="宋体" w:cs="宋体"/>
                            <w:kern w:val="0"/>
                            <w:sz w:val="24"/>
                            <w:szCs w:val="24"/>
                          </w:rPr>
                          <w:t xml:space="preserve">　　　　　　　　　　　　　　　　　　　　　　　　　　</w:t>
                        </w:r>
                        <w:bookmarkStart w:id="0" w:name="_GoBack"/>
                        <w:bookmarkEnd w:id="0"/>
                        <w:r w:rsidRPr="00F80479">
                          <w:rPr>
                            <w:rFonts w:ascii="宋体" w:eastAsia="宋体" w:hAnsi="宋体" w:cs="宋体"/>
                            <w:kern w:val="0"/>
                            <w:sz w:val="24"/>
                            <w:szCs w:val="24"/>
                          </w:rPr>
                          <w:t>国务院办公厅</w:t>
                        </w:r>
                      </w:p>
                      <w:p w:rsidR="00F80479" w:rsidRPr="00F80479" w:rsidRDefault="00F80479" w:rsidP="00F80479">
                        <w:pPr>
                          <w:widowControl/>
                          <w:spacing w:line="432" w:lineRule="atLeast"/>
                          <w:ind w:firstLine="480"/>
                          <w:rPr>
                            <w:rFonts w:ascii="宋体" w:eastAsia="宋体" w:hAnsi="宋体" w:cs="宋体"/>
                            <w:kern w:val="0"/>
                            <w:sz w:val="24"/>
                            <w:szCs w:val="24"/>
                          </w:rPr>
                        </w:pPr>
                        <w:r>
                          <w:rPr>
                            <w:rFonts w:ascii="宋体" w:eastAsia="宋体" w:hAnsi="宋体" w:cs="宋体"/>
                            <w:kern w:val="0"/>
                            <w:sz w:val="24"/>
                            <w:szCs w:val="24"/>
                          </w:rPr>
                          <w:t xml:space="preserve">　　　　　　　　　　　　　　　　　　　　　　　　　　</w:t>
                        </w:r>
                        <w:r w:rsidRPr="00F80479">
                          <w:rPr>
                            <w:rFonts w:ascii="宋体" w:eastAsia="宋体" w:hAnsi="宋体" w:cs="宋体"/>
                            <w:kern w:val="0"/>
                            <w:sz w:val="24"/>
                            <w:szCs w:val="24"/>
                          </w:rPr>
                          <w:t>2017年4月24日</w:t>
                        </w:r>
                      </w:p>
                    </w:tc>
                  </w:tr>
                </w:tbl>
                <w:p w:rsidR="00F80479" w:rsidRPr="00F80479" w:rsidRDefault="00F80479" w:rsidP="00F80479">
                  <w:pPr>
                    <w:widowControl/>
                    <w:jc w:val="left"/>
                    <w:rPr>
                      <w:rFonts w:ascii="宋体" w:eastAsia="宋体" w:hAnsi="宋体" w:cs="宋体"/>
                      <w:kern w:val="0"/>
                      <w:sz w:val="24"/>
                      <w:szCs w:val="24"/>
                    </w:rPr>
                  </w:pPr>
                </w:p>
              </w:tc>
            </w:tr>
          </w:tbl>
          <w:p w:rsidR="00F80479" w:rsidRPr="00F80479" w:rsidRDefault="00F80479" w:rsidP="00F80479">
            <w:pPr>
              <w:widowControl/>
              <w:spacing w:line="420" w:lineRule="atLeast"/>
              <w:jc w:val="left"/>
              <w:rPr>
                <w:rFonts w:ascii="宋体" w:eastAsia="宋体" w:hAnsi="宋体" w:cs="宋体"/>
                <w:color w:val="333333"/>
                <w:kern w:val="0"/>
                <w:szCs w:val="21"/>
              </w:rPr>
            </w:pPr>
          </w:p>
        </w:tc>
      </w:tr>
    </w:tbl>
    <w:p w:rsidR="00F80479" w:rsidRDefault="00F80479"/>
    <w:sectPr w:rsidR="00F80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79"/>
    <w:rsid w:val="009E2640"/>
    <w:rsid w:val="00F8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0479"/>
    <w:rPr>
      <w:sz w:val="18"/>
      <w:szCs w:val="18"/>
    </w:rPr>
  </w:style>
  <w:style w:type="character" w:customStyle="1" w:styleId="Char">
    <w:name w:val="批注框文本 Char"/>
    <w:basedOn w:val="a0"/>
    <w:link w:val="a3"/>
    <w:uiPriority w:val="99"/>
    <w:semiHidden/>
    <w:rsid w:val="00F804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0479"/>
    <w:rPr>
      <w:sz w:val="18"/>
      <w:szCs w:val="18"/>
    </w:rPr>
  </w:style>
  <w:style w:type="character" w:customStyle="1" w:styleId="Char">
    <w:name w:val="批注框文本 Char"/>
    <w:basedOn w:val="a0"/>
    <w:link w:val="a3"/>
    <w:uiPriority w:val="99"/>
    <w:semiHidden/>
    <w:rsid w:val="00F804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2017-05-07T15:07:00Z</dcterms:created>
  <dcterms:modified xsi:type="dcterms:W3CDTF">2017-05-07T15:08:00Z</dcterms:modified>
</cp:coreProperties>
</file>